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الرابعة لكرة السلة في فرع الألعاب الفرقية </w:t>
      </w: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1032"/>
        <w:gridCol w:w="2409"/>
        <w:gridCol w:w="5495"/>
      </w:tblGrid>
      <w:tr w:rsidR="004610F9" w:rsidRPr="006D37AC" w:rsidTr="00DD2286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3" w:type="dxa"/>
            <w:shd w:val="pct15" w:color="auto" w:fill="auto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507" w:type="dxa"/>
            <w:shd w:val="pct15" w:color="auto" w:fill="auto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اسعد عبد العزيز 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صالح محمد نوري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مهند عبد الستار عبد الهادي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وسن حنون علي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هلال عبد الكريم صالح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جواد رزوقي وهيب عيسى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زيد شاكر محمود زينل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Pr="006D37AC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</w:p>
        </w:tc>
        <w:tc>
          <w:tcPr>
            <w:tcW w:w="5507" w:type="dxa"/>
            <w:vAlign w:val="center"/>
          </w:tcPr>
          <w:p w:rsidR="004610F9" w:rsidRPr="006D37AC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شيرزاد محمد جارو محمد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5507" w:type="dxa"/>
            <w:vAlign w:val="center"/>
          </w:tcPr>
          <w:p w:rsidR="004610F9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لؤي سامي رفعت</w:t>
            </w:r>
          </w:p>
        </w:tc>
      </w:tr>
      <w:tr w:rsidR="004610F9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610F9" w:rsidRPr="006D37AC" w:rsidRDefault="004610F9" w:rsidP="004610F9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  <w:vAlign w:val="center"/>
          </w:tcPr>
          <w:p w:rsidR="004610F9" w:rsidRDefault="004610F9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</w:p>
        </w:tc>
        <w:tc>
          <w:tcPr>
            <w:tcW w:w="5507" w:type="dxa"/>
            <w:vAlign w:val="center"/>
          </w:tcPr>
          <w:p w:rsidR="004610F9" w:rsidRDefault="004610F9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حارث مبشر محمد</w:t>
            </w:r>
          </w:p>
        </w:tc>
      </w:tr>
    </w:tbl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7B5F75">
        <w:rPr>
          <w:rFonts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4610F9" w:rsidRDefault="004610F9" w:rsidP="004610F9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أ.د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محمد صالح محمد..</w:t>
      </w:r>
    </w:p>
    <w:p w:rsidR="004610F9" w:rsidRDefault="004610F9" w:rsidP="004610F9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سلوان صالح جاسم.</w:t>
      </w:r>
    </w:p>
    <w:p w:rsidR="004610F9" w:rsidRDefault="004610F9" w:rsidP="004610F9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أ.م.د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مهند عبد الستار عبد الهادي.</w:t>
      </w:r>
    </w:p>
    <w:p w:rsidR="004610F9" w:rsidRDefault="004610F9" w:rsidP="004610F9">
      <w:pPr>
        <w:rPr>
          <w:rFonts w:cs="Simplified Arabic" w:hint="cs"/>
          <w:b/>
          <w:bCs/>
          <w:sz w:val="28"/>
          <w:szCs w:val="28"/>
          <w:rtl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جمهورية العراق</w:t>
      </w: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الكلية : التربية الرياضية</w:t>
      </w:r>
    </w:p>
    <w:p w:rsidR="004610F9" w:rsidRPr="000B0BC4" w:rsidRDefault="004610F9" w:rsidP="004610F9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الفرع : الألعاب الفرقية   </w:t>
      </w:r>
    </w:p>
    <w:p w:rsidR="004610F9" w:rsidRPr="00E464A7" w:rsidRDefault="004610F9" w:rsidP="004610F9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464A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المرحلة : الرابعة 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أسم المادة : كرة السلة </w:t>
      </w:r>
      <w:r w:rsidRPr="00E464A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عدد الساعات : 2 ساعتان أسبوعياً </w:t>
      </w: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464A7">
        <w:rPr>
          <w:rFonts w:cs="Simplified Arabic" w:hint="cs"/>
          <w:b/>
          <w:bCs/>
          <w:sz w:val="32"/>
          <w:szCs w:val="32"/>
          <w:rtl/>
          <w:lang w:bidi="ar-IQ"/>
        </w:rPr>
        <w:t>المقرر للعام الدراسي 2012- 2013م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أسم التدريسي الأول :</w:t>
      </w:r>
      <w:r w:rsidRPr="000B0BC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أ.د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محمد صالح محمد.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اللقب العلمي :</w:t>
      </w:r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أستاذ دكتور.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4610F9" w:rsidRPr="000B0BC4" w:rsidRDefault="004610F9" w:rsidP="004610F9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  <w:r>
        <w:rPr>
          <w:rFonts w:cs="Simplified Arabic"/>
          <w:b/>
          <w:bCs/>
          <w:sz w:val="28"/>
          <w:szCs w:val="28"/>
          <w:lang w:bidi="ar-IQ"/>
        </w:rPr>
        <w:t>dr mohummed 56@yahoo.com</w:t>
      </w:r>
    </w:p>
    <w:p w:rsidR="004610F9" w:rsidRPr="00BA3816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أسم التدريسي الثاني : 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سلوان صالح جاسم.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اللقب العلمي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  <w:r>
        <w:rPr>
          <w:rFonts w:cs="Simplified Arabic"/>
          <w:b/>
          <w:bCs/>
          <w:sz w:val="28"/>
          <w:szCs w:val="28"/>
          <w:lang w:bidi="ar-IQ"/>
        </w:rPr>
        <w:t>salwanjassim @yahoo.com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الثالث : أ.م.د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مهند عبد الستار عبد الهادي.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اللقب العلمي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4610F9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  <w:r>
        <w:rPr>
          <w:rFonts w:cs="Simplified Arabic"/>
          <w:b/>
          <w:bCs/>
          <w:sz w:val="28"/>
          <w:szCs w:val="28"/>
          <w:lang w:bidi="ar-IQ"/>
        </w:rPr>
        <w:t>alanim69@yahoo.com</w:t>
      </w:r>
    </w:p>
    <w:p w:rsidR="004610F9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rPr>
          <w:rFonts w:cs="Simplified Arabic"/>
          <w:b/>
          <w:bCs/>
          <w:sz w:val="28"/>
          <w:szCs w:val="28"/>
          <w:lang w:bidi="ar-IQ"/>
        </w:rPr>
      </w:pPr>
    </w:p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Default="004610F9" w:rsidP="004610F9">
      <w:pPr>
        <w:jc w:val="center"/>
        <w:rPr>
          <w:rFonts w:cs="Simplified Arabic"/>
          <w:b/>
          <w:bCs/>
          <w:sz w:val="28"/>
          <w:szCs w:val="28"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339"/>
        <w:gridCol w:w="1253"/>
        <w:gridCol w:w="7"/>
        <w:gridCol w:w="891"/>
        <w:gridCol w:w="369"/>
        <w:gridCol w:w="1254"/>
        <w:gridCol w:w="2294"/>
      </w:tblGrid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أسم المادة</w:t>
            </w:r>
          </w:p>
        </w:tc>
        <w:tc>
          <w:tcPr>
            <w:tcW w:w="7407" w:type="dxa"/>
            <w:gridSpan w:val="7"/>
            <w:shd w:val="clear" w:color="auto" w:fill="E6E6E6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كرة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السلة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4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7"/>
            <w:vAlign w:val="center"/>
          </w:tcPr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الاهداف التعليمية.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الاهداف التطويرية.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اهداف تدريبية 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اهداف تحليلية.</w:t>
            </w:r>
          </w:p>
          <w:p w:rsidR="004610F9" w:rsidRPr="002E5FDB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7"/>
            <w:vAlign w:val="center"/>
          </w:tcPr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كرة السلة المهارات الخططية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التدريب (كتاب مساعد)             د.اياد عبد الكريم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د.وداد محمد رشاد.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بكرة السلة</w:t>
            </w:r>
          </w:p>
          <w:p w:rsidR="004610F9" w:rsidRPr="002E5FDB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المرشد التدريبي بكرة السلة.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7"/>
            <w:vAlign w:val="center"/>
          </w:tcPr>
          <w:p w:rsidR="004610F9" w:rsidRPr="004541EA" w:rsidRDefault="004610F9" w:rsidP="00DD2286">
            <w:pPr>
              <w:numPr>
                <w:ilvl w:val="0"/>
                <w:numId w:val="1"/>
              </w:numPr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 w:rsidRPr="004541E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التعديلات الحديثة لقانون كرة السلة .</w:t>
            </w:r>
          </w:p>
          <w:p w:rsidR="004610F9" w:rsidRPr="00C81628" w:rsidRDefault="004610F9" w:rsidP="00DD2286">
            <w:pPr>
              <w:numPr>
                <w:ilvl w:val="0"/>
                <w:numId w:val="1"/>
              </w:numPr>
              <w:rPr>
                <w:rFonts w:hint="cs"/>
                <w:rtl/>
              </w:rPr>
            </w:pPr>
            <w:r w:rsidRPr="004541E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استخدام الرسائل والاطاريح التي تخص مفردات  المرحلة الرابعة.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3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4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267" w:type="dxa"/>
            <w:gridSpan w:val="3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(10)+عملي (15)</w:t>
            </w:r>
          </w:p>
        </w:tc>
        <w:tc>
          <w:tcPr>
            <w:tcW w:w="1253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(10)+عملي (15)</w:t>
            </w:r>
          </w:p>
        </w:tc>
        <w:tc>
          <w:tcPr>
            <w:tcW w:w="1254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(20)+ عملي (30)</w:t>
            </w:r>
          </w:p>
        </w:tc>
      </w:tr>
      <w:tr w:rsidR="004610F9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610F9" w:rsidRPr="002E5FDB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7"/>
            <w:vAlign w:val="center"/>
          </w:tcPr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استخدام وسائل توضيحية.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اعطاء واجبات تتعلق بالدوري العراقي بكرة السلة (تحليل).</w:t>
            </w:r>
          </w:p>
          <w:p w:rsidR="004610F9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اعطاء واجبات تتعلق باعداد الفرق.</w:t>
            </w:r>
          </w:p>
          <w:p w:rsidR="004610F9" w:rsidRPr="008B2C11" w:rsidRDefault="004610F9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اشراك الطلبة بالدورات التحكيمية التي تقيمها الكلية او الاتحاد العراقي المركزي بكرة السلة.</w:t>
            </w:r>
          </w:p>
        </w:tc>
      </w:tr>
    </w:tbl>
    <w:p w:rsidR="004610F9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610F9" w:rsidRPr="000B0BC4" w:rsidRDefault="004610F9" w:rsidP="004610F9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6"/>
        <w:gridCol w:w="6099"/>
        <w:gridCol w:w="1671"/>
      </w:tblGrid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00" w:type="dxa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التعريف بالمواد الدراسية + تطوير اللياقة البدنية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00" w:type="dxa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(1+3) + تمارين تطويرية بالكرة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00" w:type="dxa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(4+10) + الدفاع رجل لرجل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(11+17) + تكملة الدفاع رجل لرجل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(18+21) + تمارين تطبيقية رجل لرجل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(22+31) + تمارين تطبيقية رجل لرجل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(32+44) + دفاع لمنطقة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مادة (45+50) + تكملة دفاع المنطقة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شرح ميكانكية التحكيم +تمارين تطبيقية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تطبيق ميكانكية التحكيم +تمارين الدفاع للمنطقة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لعب رجل لرجل + تحكيم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لعب دفاع المنطقة + تحكيم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اعادة شاملة لمواد القانون وميكانيكية التحكيم (للفصل الاول)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00" w:type="dxa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 (تحكيم)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 (لعب)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610F9" w:rsidRPr="00545106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54510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تطويرية للياقة البدنية والمهارية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الدفاع المختلط + لعب+ تحكيم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تمارين تطبيقية للدفاع المختلط + لعب + تحكيم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السريع+ لعب + تحكيم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تمارين تطبيقية للهجوم السريع+ لعب + تحكيم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استمارة التسجيل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trHeight w:val="469"/>
          <w:jc w:val="center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الفرقي ضد دفاع رجل لرجل + تمارين تطبيقية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الفرقي ضد المنطقة + تمارين تطبيقية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trHeight w:val="436"/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bottom w:val="thinThickThinMediumGap" w:sz="12" w:space="0" w:color="auto"/>
            </w:tcBorders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لعب +تحكيم +تطبيق لاستمار التسجيل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الاعداد البدني والمهاري +لعب +تحكيم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trHeight w:val="301"/>
          <w:jc w:val="center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حالات خاصة + لعب +تحكيم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trHeight w:val="17"/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التحليل بكرة السلة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اعادة شاملة لمواد الفصل الثاني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 لاستمارة التسجيل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 لعب +تحكيم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0F9" w:rsidRPr="009D34E2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D34E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6300" w:type="dxa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</w:t>
            </w:r>
          </w:p>
        </w:tc>
        <w:tc>
          <w:tcPr>
            <w:tcW w:w="1692" w:type="dxa"/>
            <w:vAlign w:val="center"/>
          </w:tcPr>
          <w:p w:rsidR="004610F9" w:rsidRPr="009D34E2" w:rsidRDefault="004610F9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610F9" w:rsidRPr="000B0BC4" w:rsidRDefault="004610F9" w:rsidP="004610F9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7F765C" w:rsidRDefault="007F765C" w:rsidP="004610F9">
      <w:bookmarkStart w:id="0" w:name="_GoBack"/>
      <w:bookmarkEnd w:id="0"/>
    </w:p>
    <w:sectPr w:rsidR="007F765C" w:rsidSect="00AB56BC">
      <w:headerReference w:type="default" r:id="rId5"/>
      <w:pgSz w:w="11906" w:h="16838"/>
      <w:pgMar w:top="1440" w:right="1440" w:bottom="1440" w:left="1440" w:header="706" w:footer="706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7" w:rsidRPr="00AC568B" w:rsidRDefault="004610F9">
    <w:pPr>
      <w:pStyle w:val="Header"/>
      <w:jc w:val="right"/>
      <w:rPr>
        <w:rFonts w:cs="Simplified Arabic"/>
        <w:b/>
        <w:bCs/>
        <w:sz w:val="28"/>
        <w:szCs w:val="28"/>
      </w:rPr>
    </w:pPr>
    <w:r w:rsidRPr="00AC568B">
      <w:rPr>
        <w:rFonts w:cs="Simplified Arabic"/>
        <w:b/>
        <w:bCs/>
        <w:sz w:val="28"/>
        <w:szCs w:val="28"/>
      </w:rPr>
      <w:fldChar w:fldCharType="begin"/>
    </w:r>
    <w:r w:rsidRPr="00AC568B">
      <w:rPr>
        <w:rFonts w:cs="Simplified Arabic"/>
        <w:b/>
        <w:bCs/>
        <w:sz w:val="28"/>
        <w:szCs w:val="28"/>
      </w:rPr>
      <w:instrText xml:space="preserve"> PAGE   \* MERGEFORMAT </w:instrText>
    </w:r>
    <w:r w:rsidRPr="00AC568B">
      <w:rPr>
        <w:rFonts w:cs="Simplified Arabic"/>
        <w:b/>
        <w:bCs/>
        <w:sz w:val="28"/>
        <w:szCs w:val="28"/>
      </w:rPr>
      <w:fldChar w:fldCharType="separate"/>
    </w:r>
    <w:r>
      <w:rPr>
        <w:rFonts w:cs="Simplified Arabic"/>
        <w:b/>
        <w:bCs/>
        <w:noProof/>
        <w:sz w:val="28"/>
        <w:szCs w:val="28"/>
        <w:rtl/>
      </w:rPr>
      <w:t>5</w:t>
    </w:r>
    <w:r w:rsidRPr="00AC568B">
      <w:rPr>
        <w:rFonts w:cs="Simplified Arabic"/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BF2"/>
    <w:multiLevelType w:val="hybridMultilevel"/>
    <w:tmpl w:val="3BD272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9"/>
    <w:rsid w:val="004610F9"/>
    <w:rsid w:val="007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9DAE5-589C-45EB-96D4-8860719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2013-03-03T14:22:00Z</dcterms:created>
  <dcterms:modified xsi:type="dcterms:W3CDTF">2013-03-03T14:23:00Z</dcterms:modified>
</cp:coreProperties>
</file>